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67" w:rsidRDefault="00022773" w:rsidP="0044650F">
      <w:pPr>
        <w:rPr>
          <w:b/>
        </w:rPr>
      </w:pPr>
      <w:r>
        <w:rPr>
          <w:b/>
        </w:rPr>
        <w:t xml:space="preserve">Text </w:t>
      </w:r>
      <w:bookmarkStart w:id="0" w:name="_GoBack"/>
      <w:bookmarkEnd w:id="0"/>
      <w:r w:rsidR="003D4B94" w:rsidRPr="00287E67">
        <w:rPr>
          <w:b/>
        </w:rPr>
        <w:t xml:space="preserve"> für Bereichshomepage </w:t>
      </w:r>
    </w:p>
    <w:p w:rsidR="00287E67" w:rsidRPr="00287E67" w:rsidRDefault="00287E67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7E67" w:rsidTr="00287E67">
        <w:tc>
          <w:tcPr>
            <w:tcW w:w="9210" w:type="dxa"/>
          </w:tcPr>
          <w:p w:rsidR="00287E67" w:rsidRDefault="00287E67" w:rsidP="00287E67">
            <w:pPr>
              <w:jc w:val="center"/>
              <w:rPr>
                <w:b/>
              </w:rPr>
            </w:pPr>
          </w:p>
          <w:p w:rsidR="00287E67" w:rsidRDefault="00287E67" w:rsidP="00287E67">
            <w:pPr>
              <w:jc w:val="center"/>
              <w:rPr>
                <w:b/>
              </w:rPr>
            </w:pPr>
            <w:r w:rsidRPr="00287E67">
              <w:rPr>
                <w:b/>
              </w:rPr>
              <w:t>Die Ausbildungsstandards für Bilinguales Lehren und Lernen auf einen Blick</w:t>
            </w:r>
          </w:p>
          <w:p w:rsidR="00287E67" w:rsidRDefault="00287E67" w:rsidP="00287E67">
            <w:pPr>
              <w:jc w:val="center"/>
              <w:rPr>
                <w:b/>
              </w:rPr>
            </w:pPr>
            <w:r>
              <w:rPr>
                <w:b/>
              </w:rPr>
              <w:t>Leitgedanken</w:t>
            </w:r>
          </w:p>
          <w:p w:rsidR="00287E67" w:rsidRPr="00287E67" w:rsidRDefault="00287E67" w:rsidP="00287E67">
            <w:pPr>
              <w:jc w:val="center"/>
              <w:rPr>
                <w:b/>
              </w:rPr>
            </w:pPr>
          </w:p>
        </w:tc>
      </w:tr>
      <w:tr w:rsidR="00287E67" w:rsidTr="00287E67">
        <w:tc>
          <w:tcPr>
            <w:tcW w:w="9210" w:type="dxa"/>
          </w:tcPr>
          <w:p w:rsidR="00287E67" w:rsidRDefault="00287E67" w:rsidP="0044650F"/>
          <w:p w:rsidR="00287E67" w:rsidRDefault="00287E67" w:rsidP="00287E67">
            <w:pPr>
              <w:jc w:val="both"/>
            </w:pPr>
            <w:r>
              <w:t>Für die Lehramtsanwärterinnen und Lehramtsanwärter des Europalehramts gelten neben den Standards der Zielsprache Englisch bzw. Französisch und den Sta</w:t>
            </w:r>
            <w:r>
              <w:t>n</w:t>
            </w:r>
            <w:r>
              <w:t xml:space="preserve">dards des jeweiligen Sachfachs ergänzend die vorliegenden Ausbildungsstandards des Europalehramtes. </w:t>
            </w:r>
          </w:p>
          <w:p w:rsidR="00287E67" w:rsidRDefault="00287E67" w:rsidP="00287E67">
            <w:pPr>
              <w:jc w:val="both"/>
            </w:pPr>
            <w:r>
              <w:t>Im bilingualen Sachfachunterricht der Grundschule sind primär die inhaltlichen und methodischen Kompetenzen des jeweiligen Sachfachs von Bedeutung. Die ang</w:t>
            </w:r>
            <w:r>
              <w:t>e</w:t>
            </w:r>
            <w:r>
              <w:t>henden Europalehrkräfte</w:t>
            </w:r>
            <w:r w:rsidR="004B6957">
              <w:t xml:space="preserve"> verfügen entsprechend über eine fundierte sachfachbez</w:t>
            </w:r>
            <w:r w:rsidR="004B6957">
              <w:t>o</w:t>
            </w:r>
            <w:r w:rsidR="004B6957">
              <w:t xml:space="preserve">gene Sprachkompetenz, um Inhalte aus ihrem </w:t>
            </w:r>
            <w:proofErr w:type="spellStart"/>
            <w:r w:rsidR="004B6957">
              <w:t>Sachfach</w:t>
            </w:r>
            <w:proofErr w:type="spellEnd"/>
            <w:r w:rsidR="004B6957">
              <w:t xml:space="preserve"> in den beiden Zielsprachen altersgemäß vermittels zu können.</w:t>
            </w:r>
          </w:p>
          <w:p w:rsidR="004B6957" w:rsidRDefault="004B6957" w:rsidP="00287E67">
            <w:pPr>
              <w:jc w:val="both"/>
            </w:pPr>
            <w:r>
              <w:t>Des Weiteren besitzen die Lehramtsanwärterinnen und Lehramtsanwärter eine ku</w:t>
            </w:r>
            <w:r>
              <w:t>l</w:t>
            </w:r>
            <w:r>
              <w:t>turelle Kompetenz, die es ihnen ermöglicht, den Schülerinnen und Schülern den E</w:t>
            </w:r>
            <w:r>
              <w:t>u</w:t>
            </w:r>
            <w:r>
              <w:t>ropagedanken im Kontext des interkulturellen Lernens nahe zu bringen.</w:t>
            </w:r>
          </w:p>
          <w:p w:rsidR="004B6957" w:rsidRDefault="004B6957" w:rsidP="00287E67">
            <w:pPr>
              <w:jc w:val="both"/>
            </w:pPr>
          </w:p>
        </w:tc>
      </w:tr>
    </w:tbl>
    <w:p w:rsidR="00CD6932" w:rsidRDefault="00CD6932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B6957" w:rsidTr="004B6957">
        <w:tc>
          <w:tcPr>
            <w:tcW w:w="9210" w:type="dxa"/>
          </w:tcPr>
          <w:p w:rsidR="004B6957" w:rsidRDefault="004B6957" w:rsidP="004B6957">
            <w:pPr>
              <w:jc w:val="center"/>
              <w:rPr>
                <w:b/>
              </w:rPr>
            </w:pPr>
          </w:p>
          <w:p w:rsidR="004B6957" w:rsidRDefault="004B6957" w:rsidP="004B6957">
            <w:pPr>
              <w:jc w:val="center"/>
              <w:rPr>
                <w:b/>
                <w:sz w:val="16"/>
                <w:szCs w:val="16"/>
              </w:rPr>
            </w:pPr>
            <w:r w:rsidRPr="004B6957">
              <w:rPr>
                <w:b/>
              </w:rPr>
              <w:t>Die folgenden Themen und Inhalte haben eine besonders zentrale Funktion:</w:t>
            </w:r>
          </w:p>
          <w:p w:rsidR="004B6957" w:rsidRDefault="004B6957" w:rsidP="004B6957">
            <w:pPr>
              <w:jc w:val="center"/>
              <w:rPr>
                <w:b/>
                <w:sz w:val="16"/>
                <w:szCs w:val="16"/>
              </w:rPr>
            </w:pPr>
          </w:p>
          <w:p w:rsidR="004B6957" w:rsidRDefault="004E1B28" w:rsidP="004E1B28">
            <w:pPr>
              <w:rPr>
                <w:sz w:val="16"/>
                <w:szCs w:val="16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Angemessene Auswahl der Sachfachinhalte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4E1B28" w:rsidRDefault="004E1B28" w:rsidP="004E1B28">
            <w:pPr>
              <w:rPr>
                <w:szCs w:val="24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Verknüpfung didaktischer Prinzipien des Sachfachs mit denen der Arbeitssprache</w:t>
            </w:r>
          </w:p>
          <w:p w:rsidR="004E1B28" w:rsidRDefault="004E1B28" w:rsidP="004E1B2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 Englisch oder Französisch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04594B" w:rsidRDefault="0004594B" w:rsidP="004E1B28">
            <w:pPr>
              <w:rPr>
                <w:szCs w:val="24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Funktionalisierung der beiden Arbeitssprachen Englisch/Französisch und Deutsch</w:t>
            </w:r>
          </w:p>
          <w:p w:rsidR="0004594B" w:rsidRDefault="0004594B" w:rsidP="004E1B2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</w:t>
            </w:r>
            <w:r w:rsidR="00A350E3">
              <w:rPr>
                <w:szCs w:val="24"/>
              </w:rPr>
              <w:t xml:space="preserve"> im bilingualen Unterricht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04594B" w:rsidRDefault="0004594B" w:rsidP="004E1B28">
            <w:pPr>
              <w:rPr>
                <w:sz w:val="16"/>
                <w:szCs w:val="16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Keine epochale Unterrichtsplanung mit jeweils nur einer Arbeitssprache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4E1B28" w:rsidRDefault="004E1B28" w:rsidP="004E1B28">
            <w:pPr>
              <w:rPr>
                <w:sz w:val="16"/>
                <w:szCs w:val="16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Berücksichtigung einer didaktischen Reduktion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04594B" w:rsidRDefault="0004594B" w:rsidP="004E1B28">
            <w:pPr>
              <w:rPr>
                <w:sz w:val="16"/>
                <w:szCs w:val="16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Beschreibung, Analyse und Bewertung der Eignung von Lehr- und Lernmitteln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4E1B28" w:rsidRDefault="004E1B28" w:rsidP="004E1B28">
            <w:pPr>
              <w:rPr>
                <w:sz w:val="16"/>
                <w:szCs w:val="16"/>
              </w:rPr>
            </w:pPr>
            <w:r>
              <w:rPr>
                <w:rFonts w:ascii="Cambria Math" w:hAnsi="Cambria Math"/>
                <w:szCs w:val="24"/>
              </w:rPr>
              <w:t xml:space="preserve">⇨ </w:t>
            </w:r>
            <w:r>
              <w:rPr>
                <w:szCs w:val="24"/>
              </w:rPr>
              <w:t>Reflektierter Einsatz von (authentischen) Medien und Materialien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4E1B28" w:rsidRDefault="004E1B28" w:rsidP="004E1B28">
            <w:pPr>
              <w:rPr>
                <w:szCs w:val="24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Anschaulichkeit, klare Strukturierung und Handlungsorientierung als Prinzipien</w:t>
            </w:r>
          </w:p>
          <w:p w:rsidR="004E1B28" w:rsidRDefault="004E1B28" w:rsidP="004E1B2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 des bilingualen Unterricht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04594B" w:rsidRDefault="0004594B" w:rsidP="004E1B28">
            <w:pPr>
              <w:rPr>
                <w:sz w:val="16"/>
                <w:szCs w:val="16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Angemessenheit rezeptiver, reproduktiver und produktiver Lernleistungen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04594B" w:rsidRDefault="0004594B" w:rsidP="004E1B28">
            <w:pPr>
              <w:rPr>
                <w:szCs w:val="24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Gütekriterium Objektivität, d.h. Vergleichbarkeit zwischen bilingualen und mono-</w:t>
            </w:r>
          </w:p>
          <w:p w:rsidR="0004594B" w:rsidRDefault="0004594B" w:rsidP="004E1B2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>
              <w:rPr>
                <w:szCs w:val="24"/>
              </w:rPr>
              <w:t>lingualen</w:t>
            </w:r>
            <w:proofErr w:type="spellEnd"/>
            <w:r>
              <w:rPr>
                <w:szCs w:val="24"/>
              </w:rPr>
              <w:t xml:space="preserve"> Lernleistungen</w:t>
            </w:r>
          </w:p>
          <w:p w:rsidR="00A350E3" w:rsidRPr="00A350E3" w:rsidRDefault="00A350E3" w:rsidP="004E1B28">
            <w:pPr>
              <w:rPr>
                <w:sz w:val="16"/>
                <w:szCs w:val="16"/>
              </w:rPr>
            </w:pPr>
          </w:p>
          <w:p w:rsidR="0004594B" w:rsidRDefault="0004594B" w:rsidP="004E1B28">
            <w:pPr>
              <w:rPr>
                <w:szCs w:val="24"/>
              </w:rPr>
            </w:pPr>
            <w:r>
              <w:rPr>
                <w:rFonts w:ascii="Cambria Math" w:hAnsi="Cambria Math"/>
                <w:szCs w:val="24"/>
              </w:rPr>
              <w:t>⇨</w:t>
            </w:r>
            <w:r>
              <w:rPr>
                <w:szCs w:val="24"/>
              </w:rPr>
              <w:t xml:space="preserve"> Fehlertoleranz in der Arbeitssprache Englisch/Französisch als Unterrichtsprinzip</w:t>
            </w:r>
          </w:p>
          <w:p w:rsidR="004B6957" w:rsidRPr="004B6957" w:rsidRDefault="004B6957" w:rsidP="0004594B">
            <w:pPr>
              <w:rPr>
                <w:b/>
              </w:rPr>
            </w:pPr>
          </w:p>
        </w:tc>
      </w:tr>
    </w:tbl>
    <w:p w:rsidR="004B6957" w:rsidRPr="00287E67" w:rsidRDefault="004B6957" w:rsidP="0044650F"/>
    <w:sectPr w:rsidR="004B6957" w:rsidRPr="00287E67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28" w:rsidRDefault="00294128" w:rsidP="001E03DE">
      <w:r>
        <w:separator/>
      </w:r>
    </w:p>
  </w:endnote>
  <w:endnote w:type="continuationSeparator" w:id="0">
    <w:p w:rsidR="00294128" w:rsidRDefault="0029412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28" w:rsidRDefault="00294128" w:rsidP="001E03DE">
      <w:r>
        <w:separator/>
      </w:r>
    </w:p>
  </w:footnote>
  <w:footnote w:type="continuationSeparator" w:id="0">
    <w:p w:rsidR="00294128" w:rsidRDefault="0029412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94"/>
    <w:rsid w:val="00022773"/>
    <w:rsid w:val="0004594B"/>
    <w:rsid w:val="001A2103"/>
    <w:rsid w:val="001E03DE"/>
    <w:rsid w:val="002223B8"/>
    <w:rsid w:val="00287E67"/>
    <w:rsid w:val="00294128"/>
    <w:rsid w:val="00296589"/>
    <w:rsid w:val="003D4B94"/>
    <w:rsid w:val="0044650F"/>
    <w:rsid w:val="004B6957"/>
    <w:rsid w:val="004E1B28"/>
    <w:rsid w:val="008A7911"/>
    <w:rsid w:val="009533B3"/>
    <w:rsid w:val="009935DA"/>
    <w:rsid w:val="009C05F9"/>
    <w:rsid w:val="00A350E3"/>
    <w:rsid w:val="00C22DA6"/>
    <w:rsid w:val="00CD6932"/>
    <w:rsid w:val="00D0018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87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87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B9DC-0CE8-4FD1-921A-65FB426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Denk, Thomas (Seminar GHS Pforzheim)</dc:creator>
  <cp:lastModifiedBy>Denk, Thomas (Seminar GHS Pforzheim)</cp:lastModifiedBy>
  <cp:revision>3</cp:revision>
  <cp:lastPrinted>2015-12-21T15:18:00Z</cp:lastPrinted>
  <dcterms:created xsi:type="dcterms:W3CDTF">2015-12-21T14:32:00Z</dcterms:created>
  <dcterms:modified xsi:type="dcterms:W3CDTF">2015-12-22T13:11:00Z</dcterms:modified>
</cp:coreProperties>
</file>